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8" w:rsidRPr="00B670FE" w:rsidRDefault="00F71382">
      <w:pPr>
        <w:rPr>
          <w:rFonts w:ascii="微软雅黑" w:eastAsia="微软雅黑" w:hAnsi="微软雅黑" w:cs="微软雅黑"/>
          <w:b/>
          <w:bCs/>
          <w:sz w:val="24"/>
        </w:rPr>
      </w:pPr>
      <w:r w:rsidRPr="00B670FE">
        <w:rPr>
          <w:rFonts w:ascii="微软雅黑" w:eastAsia="微软雅黑" w:hAnsi="微软雅黑" w:cs="微软雅黑" w:hint="eastAsia"/>
          <w:b/>
          <w:bCs/>
          <w:sz w:val="24"/>
        </w:rPr>
        <w:t>上海市集成电路高技能人才培养基地</w:t>
      </w:r>
    </w:p>
    <w:p w:rsidR="00C87938" w:rsidRPr="00B670FE" w:rsidRDefault="00F71382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 w:rsidRPr="00B670FE">
        <w:rPr>
          <w:rFonts w:ascii="微软雅黑" w:eastAsia="微软雅黑" w:hAnsi="微软雅黑" w:cs="微软雅黑" w:hint="eastAsia"/>
          <w:b/>
          <w:bCs/>
          <w:sz w:val="44"/>
          <w:szCs w:val="44"/>
        </w:rPr>
        <w:t>运算放大器集成电路设计仿真</w:t>
      </w:r>
    </w:p>
    <w:p w:rsidR="00C87938" w:rsidRPr="00B670FE" w:rsidRDefault="00F71382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B670FE">
        <w:rPr>
          <w:rFonts w:ascii="微软雅黑" w:eastAsia="微软雅黑" w:hAnsi="微软雅黑" w:cs="微软雅黑" w:hint="eastAsia"/>
          <w:b/>
          <w:bCs/>
          <w:sz w:val="32"/>
          <w:szCs w:val="32"/>
        </w:rPr>
        <w:t>培训招生简章</w:t>
      </w:r>
    </w:p>
    <w:p w:rsidR="00C87938" w:rsidRPr="00B670FE" w:rsidRDefault="00F71382">
      <w:pPr>
        <w:spacing w:afterLines="20" w:after="62" w:line="360" w:lineRule="auto"/>
        <w:rPr>
          <w:rFonts w:ascii="微软雅黑" w:eastAsia="微软雅黑" w:hAnsi="微软雅黑" w:cs="微软雅黑"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一、培训对象</w:t>
      </w:r>
      <w:r w:rsidRPr="00B670FE">
        <w:rPr>
          <w:rFonts w:ascii="微软雅黑" w:eastAsia="微软雅黑" w:hAnsi="微软雅黑" w:cs="微软雅黑" w:hint="eastAsia"/>
          <w:szCs w:val="21"/>
        </w:rPr>
        <w:br/>
      </w:r>
      <w:r w:rsidRPr="00B670FE">
        <w:rPr>
          <w:rFonts w:ascii="微软雅黑" w:eastAsia="微软雅黑" w:hAnsi="微软雅黑" w:cs="微软雅黑" w:hint="eastAsia"/>
          <w:szCs w:val="21"/>
          <w:shd w:val="clear" w:color="auto" w:fill="FFFFFF"/>
        </w:rPr>
        <w:t>1</w:t>
      </w:r>
      <w:r w:rsidRPr="00B670FE">
        <w:rPr>
          <w:rFonts w:ascii="微软雅黑" w:eastAsia="微软雅黑" w:hAnsi="微软雅黑" w:cs="微软雅黑" w:hint="eastAsia"/>
          <w:sz w:val="24"/>
          <w:shd w:val="clear" w:color="auto" w:fill="FFFFFF"/>
        </w:rPr>
        <w:t>、从事模拟集成电路设计的工作的人员；</w:t>
      </w:r>
    </w:p>
    <w:p w:rsidR="00C87938" w:rsidRPr="00B670FE" w:rsidRDefault="00F71382">
      <w:pPr>
        <w:pStyle w:val="11"/>
        <w:numPr>
          <w:ilvl w:val="0"/>
          <w:numId w:val="1"/>
        </w:numPr>
        <w:spacing w:afterLines="20" w:after="62"/>
        <w:ind w:firstLineChars="0"/>
        <w:rPr>
          <w:rFonts w:ascii="微软雅黑" w:eastAsia="微软雅黑" w:hAnsi="微软雅黑" w:cs="微软雅黑"/>
          <w:sz w:val="24"/>
          <w:szCs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有意</w:t>
      </w:r>
      <w:r w:rsidRPr="00B670FE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从事模拟集成电路设计的工作的人员。</w:t>
      </w:r>
    </w:p>
    <w:p w:rsidR="00C87938" w:rsidRPr="00B670FE" w:rsidRDefault="00F71382">
      <w:pPr>
        <w:spacing w:afterLines="20" w:after="62" w:line="360" w:lineRule="auto"/>
        <w:rPr>
          <w:rFonts w:ascii="微软雅黑" w:eastAsia="微软雅黑" w:hAnsi="微软雅黑" w:cs="微软雅黑"/>
          <w:b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二、培训目标</w:t>
      </w:r>
    </w:p>
    <w:p w:rsidR="00C87938" w:rsidRPr="00B670FE" w:rsidRDefault="00F71382">
      <w:pPr>
        <w:pStyle w:val="a4"/>
        <w:numPr>
          <w:ilvl w:val="0"/>
          <w:numId w:val="2"/>
        </w:numPr>
        <w:spacing w:afterLines="20" w:after="62" w:line="360" w:lineRule="auto"/>
        <w:rPr>
          <w:rFonts w:ascii="微软雅黑" w:eastAsia="微软雅黑" w:hAnsi="微软雅黑" w:cs="微软雅黑"/>
          <w:szCs w:val="24"/>
          <w:lang w:eastAsia="zh-CN"/>
        </w:rPr>
      </w:pPr>
      <w:bookmarkStart w:id="0" w:name="_Toc64786385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熟练掌握运算放大器原理，掌握稳定性和频率补偿的方法；</w:t>
      </w:r>
      <w:bookmarkStart w:id="1" w:name="_GoBack"/>
      <w:bookmarkEnd w:id="1"/>
    </w:p>
    <w:p w:rsidR="00C87938" w:rsidRPr="00B670FE" w:rsidRDefault="00F71382">
      <w:pPr>
        <w:pStyle w:val="a4"/>
        <w:numPr>
          <w:ilvl w:val="0"/>
          <w:numId w:val="2"/>
        </w:numPr>
        <w:spacing w:afterLines="20" w:after="62" w:line="360" w:lineRule="auto"/>
        <w:rPr>
          <w:rFonts w:ascii="微软雅黑" w:eastAsia="微软雅黑" w:hAnsi="微软雅黑" w:cs="微软雅黑"/>
          <w:szCs w:val="24"/>
          <w:lang w:eastAsia="zh-CN"/>
        </w:rPr>
      </w:pPr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能够制作和使用跨导效率查找表；</w:t>
      </w:r>
    </w:p>
    <w:p w:rsidR="00C87938" w:rsidRPr="00B670FE" w:rsidRDefault="00F71382">
      <w:pPr>
        <w:pStyle w:val="a4"/>
        <w:numPr>
          <w:ilvl w:val="0"/>
          <w:numId w:val="2"/>
        </w:numPr>
        <w:spacing w:afterLines="20" w:after="62" w:line="360" w:lineRule="auto"/>
        <w:rPr>
          <w:rFonts w:ascii="微软雅黑" w:eastAsia="微软雅黑" w:hAnsi="微软雅黑" w:cs="微软雅黑"/>
          <w:szCs w:val="24"/>
          <w:lang w:eastAsia="zh-CN"/>
        </w:rPr>
      </w:pPr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能够应用</w:t>
      </w:r>
      <w:proofErr w:type="spellStart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Matlab</w:t>
      </w:r>
      <w:proofErr w:type="spellEnd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来系统优化设计运算放大器电路；</w:t>
      </w:r>
    </w:p>
    <w:p w:rsidR="00C87938" w:rsidRPr="00B670FE" w:rsidRDefault="00F71382">
      <w:pPr>
        <w:pStyle w:val="a4"/>
        <w:numPr>
          <w:ilvl w:val="0"/>
          <w:numId w:val="2"/>
        </w:numPr>
        <w:spacing w:afterLines="20" w:after="62" w:line="360" w:lineRule="auto"/>
        <w:rPr>
          <w:rFonts w:ascii="微软雅黑" w:eastAsia="微软雅黑" w:hAnsi="微软雅黑" w:cs="微软雅黑"/>
          <w:szCs w:val="24"/>
          <w:lang w:eastAsia="zh-CN"/>
        </w:rPr>
      </w:pPr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能够用Cadence电路设计工具设计运算放大器的原理图和符号；</w:t>
      </w:r>
    </w:p>
    <w:p w:rsidR="00C87938" w:rsidRPr="00B670FE" w:rsidRDefault="00F71382">
      <w:pPr>
        <w:pStyle w:val="a4"/>
        <w:numPr>
          <w:ilvl w:val="0"/>
          <w:numId w:val="2"/>
        </w:numPr>
        <w:spacing w:afterLines="20" w:after="62" w:line="360" w:lineRule="auto"/>
        <w:rPr>
          <w:rFonts w:ascii="微软雅黑" w:eastAsia="微软雅黑" w:hAnsi="微软雅黑" w:cs="微软雅黑"/>
          <w:szCs w:val="24"/>
          <w:lang w:eastAsia="zh-CN"/>
        </w:rPr>
      </w:pPr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能够用Cadence ADE仿真环境和</w:t>
      </w:r>
      <w:proofErr w:type="spellStart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Spectre</w:t>
      </w:r>
      <w:proofErr w:type="spellEnd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仿真器进行运算放大器仿真；</w:t>
      </w:r>
    </w:p>
    <w:p w:rsidR="00C87938" w:rsidRPr="00B670FE" w:rsidRDefault="00F71382">
      <w:pPr>
        <w:pStyle w:val="a4"/>
        <w:numPr>
          <w:ilvl w:val="0"/>
          <w:numId w:val="2"/>
        </w:numPr>
        <w:spacing w:afterLines="20" w:after="62" w:line="360" w:lineRule="auto"/>
        <w:rPr>
          <w:rFonts w:ascii="微软雅黑" w:eastAsia="微软雅黑" w:hAnsi="微软雅黑" w:cs="微软雅黑"/>
          <w:szCs w:val="24"/>
          <w:lang w:eastAsia="zh-CN"/>
        </w:rPr>
      </w:pPr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能够分析运算放大器的仿真结果。</w:t>
      </w:r>
      <w:bookmarkEnd w:id="0"/>
    </w:p>
    <w:p w:rsidR="00C87938" w:rsidRPr="00B670FE" w:rsidRDefault="00F71382">
      <w:pPr>
        <w:spacing w:line="360" w:lineRule="auto"/>
        <w:rPr>
          <w:rFonts w:ascii="微软雅黑" w:eastAsia="微软雅黑" w:hAnsi="微软雅黑" w:cs="微软雅黑"/>
          <w:b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三、培训特色</w:t>
      </w:r>
    </w:p>
    <w:p w:rsidR="00C87938" w:rsidRPr="00B670FE" w:rsidRDefault="00F71382">
      <w:pPr>
        <w:pStyle w:val="a4"/>
        <w:numPr>
          <w:ilvl w:val="0"/>
          <w:numId w:val="3"/>
        </w:numPr>
        <w:spacing w:after="120" w:line="360" w:lineRule="auto"/>
        <w:rPr>
          <w:rFonts w:ascii="微软雅黑" w:eastAsia="微软雅黑" w:hAnsi="微软雅黑" w:cs="微软雅黑"/>
          <w:szCs w:val="24"/>
          <w:lang w:eastAsia="zh-CN"/>
        </w:rPr>
      </w:pPr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注重理论和实践的结合，着重实训技能结合完备的基础理论培训，参照国际先进的运算放大器设计方法来指导实训为特色。</w:t>
      </w:r>
    </w:p>
    <w:p w:rsidR="00C87938" w:rsidRPr="00B670FE" w:rsidRDefault="00F71382">
      <w:pPr>
        <w:pStyle w:val="a4"/>
        <w:numPr>
          <w:ilvl w:val="0"/>
          <w:numId w:val="4"/>
        </w:numPr>
        <w:spacing w:after="120" w:line="360" w:lineRule="auto"/>
        <w:rPr>
          <w:rFonts w:ascii="微软雅黑" w:eastAsia="微软雅黑" w:hAnsi="微软雅黑" w:cs="微软雅黑"/>
          <w:szCs w:val="24"/>
          <w:lang w:eastAsia="zh-CN"/>
        </w:rPr>
      </w:pPr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系统地介绍运算放大器电路原理，电子电路的频率相信分析方法，反馈放大器原理，放大器稳定性和频率补偿方法，运算放大器的性能参数。先进的利用跨导效率来系统地设计运算放大器的方法，运用</w:t>
      </w:r>
      <w:proofErr w:type="spellStart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Matlab</w:t>
      </w:r>
      <w:proofErr w:type="spellEnd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和</w:t>
      </w:r>
      <w:proofErr w:type="spellStart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Spectre</w:t>
      </w:r>
      <w:proofErr w:type="spellEnd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来产生SPICE跨导效率查找表，通过查找表来确定MOS晶体管的尺寸。用跨导效率作为模拟电路设计折衷的中心变量，一些基于</w:t>
      </w:r>
      <w:proofErr w:type="spellStart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Matlab</w:t>
      </w:r>
      <w:proofErr w:type="spellEnd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程序脚本的设计流程，可以方便快速准确地设计运算放大器各个MOS晶体管的尺寸。</w:t>
      </w:r>
    </w:p>
    <w:p w:rsidR="00C87938" w:rsidRPr="00B670FE" w:rsidRDefault="00F71382">
      <w:pPr>
        <w:pStyle w:val="a4"/>
        <w:numPr>
          <w:ilvl w:val="0"/>
          <w:numId w:val="4"/>
        </w:numPr>
        <w:spacing w:after="120" w:line="360" w:lineRule="auto"/>
        <w:rPr>
          <w:rFonts w:ascii="微软雅黑" w:eastAsia="微软雅黑" w:hAnsi="微软雅黑" w:cs="微软雅黑"/>
          <w:szCs w:val="24"/>
          <w:shd w:val="clear" w:color="auto" w:fill="FFFFFF"/>
          <w:lang w:eastAsia="zh-CN"/>
        </w:rPr>
      </w:pPr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利用Cadence IC设计工具建立运算放大器原理图和电路符号，再运用Cadence ADE和</w:t>
      </w:r>
      <w:proofErr w:type="spellStart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Spectre</w:t>
      </w:r>
      <w:proofErr w:type="spellEnd"/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对运算放大器的性能进行仿真。理论与实践操作相结合。</w:t>
      </w:r>
    </w:p>
    <w:p w:rsidR="00C87938" w:rsidRPr="00B670FE" w:rsidRDefault="00F71382">
      <w:pPr>
        <w:spacing w:line="360" w:lineRule="auto"/>
        <w:rPr>
          <w:rFonts w:ascii="微软雅黑" w:eastAsia="微软雅黑" w:hAnsi="微软雅黑" w:cs="微软雅黑"/>
          <w:b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lastRenderedPageBreak/>
        <w:t>四、证书</w:t>
      </w:r>
    </w:p>
    <w:p w:rsidR="00C87938" w:rsidRPr="00B670FE" w:rsidRDefault="00F71382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sz w:val="24"/>
          <w:shd w:val="clear" w:color="auto" w:fill="FFFFFF"/>
        </w:rPr>
        <w:t>参加本培训班并通过鉴定者，将由上海市劳动和社会保障局颁发专项职业能力资格证书。</w:t>
      </w:r>
    </w:p>
    <w:p w:rsidR="00C87938" w:rsidRPr="00B670FE" w:rsidRDefault="00F71382">
      <w:pPr>
        <w:spacing w:line="360" w:lineRule="auto"/>
        <w:rPr>
          <w:rFonts w:ascii="微软雅黑" w:eastAsia="微软雅黑" w:hAnsi="微软雅黑" w:cs="微软雅黑"/>
          <w:b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五、 培训费用</w:t>
      </w:r>
    </w:p>
    <w:p w:rsidR="007C6995" w:rsidRPr="00B670FE" w:rsidRDefault="007C6995" w:rsidP="007C6995">
      <w:pPr>
        <w:spacing w:line="360" w:lineRule="auto"/>
        <w:rPr>
          <w:rFonts w:ascii="微软雅黑" w:eastAsia="微软雅黑" w:hAnsi="微软雅黑"/>
          <w:sz w:val="24"/>
          <w:shd w:val="clear" w:color="auto" w:fill="FFFFFF"/>
        </w:rPr>
      </w:pPr>
      <w:r w:rsidRPr="00B670FE">
        <w:rPr>
          <w:rFonts w:ascii="微软雅黑" w:eastAsia="微软雅黑" w:hAnsi="微软雅黑" w:hint="eastAsia"/>
          <w:sz w:val="24"/>
          <w:shd w:val="clear" w:color="auto" w:fill="FFFFFF"/>
        </w:rPr>
        <w:t>1、缴纳上海社保的在职员工收取资料费780元（包括讲义资料费、茶水费等）</w:t>
      </w:r>
    </w:p>
    <w:p w:rsidR="007C6995" w:rsidRPr="00B670FE" w:rsidRDefault="007C6995" w:rsidP="007C6995">
      <w:pPr>
        <w:spacing w:line="360" w:lineRule="auto"/>
        <w:rPr>
          <w:rFonts w:ascii="微软雅黑" w:eastAsia="微软雅黑" w:hAnsi="微软雅黑"/>
          <w:sz w:val="24"/>
          <w:shd w:val="clear" w:color="auto" w:fill="FFFFFF"/>
        </w:rPr>
      </w:pPr>
      <w:r w:rsidRPr="00B670FE">
        <w:rPr>
          <w:rFonts w:ascii="微软雅黑" w:eastAsia="微软雅黑" w:hAnsi="微软雅黑" w:hint="eastAsia"/>
          <w:sz w:val="24"/>
          <w:shd w:val="clear" w:color="auto" w:fill="FFFFFF"/>
        </w:rPr>
        <w:t>2、无上海社保的学员收取资料费及学费共计2500元</w:t>
      </w:r>
    </w:p>
    <w:p w:rsidR="00C87938" w:rsidRPr="00B670FE" w:rsidRDefault="00F71382" w:rsidP="007C6995">
      <w:pPr>
        <w:spacing w:line="360" w:lineRule="auto"/>
        <w:rPr>
          <w:rFonts w:ascii="微软雅黑" w:eastAsia="微软雅黑" w:hAnsi="微软雅黑" w:cs="微软雅黑"/>
          <w:b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六、培训计划</w:t>
      </w:r>
    </w:p>
    <w:p w:rsidR="00C87938" w:rsidRPr="00B670FE" w:rsidRDefault="00F71382">
      <w:pPr>
        <w:pStyle w:val="110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color w:val="333333"/>
          <w:sz w:val="24"/>
          <w:szCs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培训总课时：80课时。</w:t>
      </w:r>
    </w:p>
    <w:p w:rsidR="00C87938" w:rsidRPr="00B670FE" w:rsidRDefault="00F71382">
      <w:pPr>
        <w:pStyle w:val="110"/>
        <w:ind w:left="420" w:firstLineChars="0" w:firstLine="0"/>
        <w:rPr>
          <w:rFonts w:ascii="微软雅黑" w:eastAsia="微软雅黑" w:hAnsi="微软雅黑" w:cs="微软雅黑"/>
          <w:color w:val="333333"/>
          <w:sz w:val="24"/>
          <w:szCs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理论培训：36课时，采用课堂教学培训方式结合小组讨论的理论知识培训方法。；</w:t>
      </w:r>
    </w:p>
    <w:p w:rsidR="00C87938" w:rsidRPr="00B670FE" w:rsidRDefault="00F71382">
      <w:pPr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操作技能：44课时，采用教师讲解结合项目实践、现场指导和在线练习的学习方式。</w:t>
      </w:r>
    </w:p>
    <w:p w:rsidR="00C87938" w:rsidRPr="00B670FE" w:rsidRDefault="00F71382">
      <w:pPr>
        <w:pStyle w:val="110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color w:val="333333"/>
          <w:sz w:val="24"/>
          <w:szCs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培训时间：每周日，共10天（除国家法定假日）</w:t>
      </w:r>
    </w:p>
    <w:p w:rsidR="00C87938" w:rsidRPr="00B670FE" w:rsidRDefault="00F71382">
      <w:pPr>
        <w:pStyle w:val="110"/>
        <w:numPr>
          <w:ilvl w:val="0"/>
          <w:numId w:val="6"/>
        </w:numPr>
        <w:ind w:firstLineChars="0"/>
        <w:rPr>
          <w:rFonts w:ascii="微软雅黑" w:eastAsia="微软雅黑" w:hAnsi="微软雅黑" w:cs="微软雅黑"/>
          <w:color w:val="333333"/>
          <w:sz w:val="24"/>
          <w:szCs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培训地点：上海硅知识产权交易中心（宜山路333号汇</w:t>
      </w:r>
      <w:proofErr w:type="gramStart"/>
      <w:r w:rsidRPr="00B670FE"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鑫</w:t>
      </w:r>
      <w:proofErr w:type="gramEnd"/>
      <w:r w:rsidRPr="00B670FE"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国际大厦1号楼1706室）</w:t>
      </w:r>
    </w:p>
    <w:p w:rsidR="00C87938" w:rsidRPr="00B670FE" w:rsidRDefault="00F71382">
      <w:pPr>
        <w:pStyle w:val="110"/>
        <w:numPr>
          <w:ilvl w:val="0"/>
          <w:numId w:val="6"/>
        </w:numPr>
        <w:ind w:firstLineChars="0"/>
        <w:rPr>
          <w:rFonts w:ascii="微软雅黑" w:eastAsia="微软雅黑" w:hAnsi="微软雅黑" w:cs="微软雅黑"/>
          <w:color w:val="333333"/>
          <w:sz w:val="24"/>
          <w:szCs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开班形式：小班授课（40人以下），保证每人1台PC；同时开通云端服务器登录账号，可随时登录进行项目实训，授课老师提供技术支持与答疑。</w:t>
      </w:r>
    </w:p>
    <w:p w:rsidR="00C87938" w:rsidRPr="00B670FE" w:rsidRDefault="00F71382">
      <w:pPr>
        <w:spacing w:line="360" w:lineRule="auto"/>
        <w:rPr>
          <w:rFonts w:ascii="微软雅黑" w:eastAsia="微软雅黑" w:hAnsi="微软雅黑" w:cs="微软雅黑"/>
          <w:b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七、培训师资</w:t>
      </w:r>
    </w:p>
    <w:p w:rsidR="00C87938" w:rsidRPr="00B670FE" w:rsidRDefault="00F71382">
      <w:pPr>
        <w:pStyle w:val="a4"/>
        <w:spacing w:after="120" w:line="360" w:lineRule="auto"/>
        <w:ind w:firstLine="432"/>
        <w:rPr>
          <w:rFonts w:ascii="微软雅黑" w:eastAsia="微软雅黑" w:hAnsi="微软雅黑" w:cs="微软雅黑"/>
          <w:szCs w:val="24"/>
          <w:lang w:eastAsia="zh-CN"/>
        </w:rPr>
      </w:pPr>
      <w:r w:rsidRPr="00B670FE">
        <w:rPr>
          <w:rFonts w:ascii="微软雅黑" w:eastAsia="微软雅黑" w:hAnsi="微软雅黑" w:cs="微软雅黑" w:hint="eastAsia"/>
          <w:szCs w:val="24"/>
          <w:lang w:eastAsia="zh-CN"/>
        </w:rPr>
        <w:t>本项目培训师资人员均是具有10年以上专精于模拟集成电路设计的资深专家，拥有丰富的CMOS模拟集成电路设计仿真经验、项目管理与带队经验。</w:t>
      </w:r>
    </w:p>
    <w:p w:rsidR="00C87938" w:rsidRPr="00B670FE" w:rsidRDefault="00F71382">
      <w:pPr>
        <w:widowControl/>
        <w:numPr>
          <w:ilvl w:val="0"/>
          <w:numId w:val="7"/>
        </w:numPr>
        <w:spacing w:line="360" w:lineRule="auto"/>
        <w:rPr>
          <w:rFonts w:ascii="微软雅黑" w:eastAsia="微软雅黑" w:hAnsi="微软雅黑" w:cs="微软雅黑"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Paul Fu</w:t>
      </w:r>
    </w:p>
    <w:p w:rsidR="009016B3" w:rsidRPr="00B670FE" w:rsidRDefault="009016B3" w:rsidP="002A0EEA">
      <w:pPr>
        <w:spacing w:line="360" w:lineRule="auto"/>
        <w:ind w:firstLineChars="200" w:firstLine="480"/>
        <w:rPr>
          <w:rFonts w:ascii="微软雅黑" w:eastAsia="微软雅黑" w:hAnsi="微软雅黑" w:cs="微软雅黑"/>
          <w:kern w:val="0"/>
          <w:sz w:val="24"/>
          <w:lang w:bidi="ar"/>
        </w:rPr>
      </w:pPr>
      <w:r w:rsidRPr="00B670FE">
        <w:rPr>
          <w:rFonts w:ascii="微软雅黑" w:eastAsia="微软雅黑" w:hAnsi="微软雅黑" w:cs="微软雅黑" w:hint="eastAsia"/>
          <w:kern w:val="0"/>
          <w:sz w:val="24"/>
          <w:lang w:bidi="ar"/>
        </w:rPr>
        <w:t>拥有十五年的CMOS模拟集成电路设计经验。对运算放大器，</w:t>
      </w:r>
      <w:proofErr w:type="spellStart"/>
      <w:r w:rsidRPr="00B670FE">
        <w:rPr>
          <w:rFonts w:ascii="微软雅黑" w:eastAsia="微软雅黑" w:hAnsi="微软雅黑" w:cs="微软雅黑" w:hint="eastAsia"/>
          <w:kern w:val="0"/>
          <w:sz w:val="24"/>
          <w:lang w:bidi="ar"/>
        </w:rPr>
        <w:t>LDO,Charge</w:t>
      </w:r>
      <w:proofErr w:type="spellEnd"/>
      <w:r w:rsidRPr="00B670FE">
        <w:rPr>
          <w:rFonts w:ascii="微软雅黑" w:eastAsia="微软雅黑" w:hAnsi="微软雅黑" w:cs="微软雅黑" w:hint="eastAsia"/>
          <w:kern w:val="0"/>
          <w:sz w:val="24"/>
          <w:lang w:bidi="ar"/>
        </w:rPr>
        <w:t xml:space="preserve"> pump，</w:t>
      </w:r>
      <w:proofErr w:type="spellStart"/>
      <w:r w:rsidRPr="00B670FE">
        <w:rPr>
          <w:rFonts w:ascii="微软雅黑" w:eastAsia="微软雅黑" w:hAnsi="微软雅黑" w:cs="微软雅黑" w:hint="eastAsia"/>
          <w:kern w:val="0"/>
          <w:sz w:val="24"/>
          <w:lang w:bidi="ar"/>
        </w:rPr>
        <w:t>Bandgap</w:t>
      </w:r>
      <w:proofErr w:type="spellEnd"/>
      <w:r w:rsidRPr="00B670FE">
        <w:rPr>
          <w:rFonts w:ascii="微软雅黑" w:eastAsia="微软雅黑" w:hAnsi="微软雅黑" w:cs="微软雅黑" w:hint="eastAsia"/>
          <w:kern w:val="0"/>
          <w:sz w:val="24"/>
          <w:lang w:bidi="ar"/>
        </w:rPr>
        <w:t>，ADC，MCU等有丰富的理论和实践经验。尤其在运算放大器方向，精通各种运算放大器方面，涵盖几乎所有领域：低失调运放，高速运算放大器，高压高功率运放，Class-D功率放大器等。同时拥有MCU领域的团队技术管理和带团队经验。</w:t>
      </w:r>
    </w:p>
    <w:p w:rsidR="00C87938" w:rsidRPr="00B670FE" w:rsidRDefault="00F71382">
      <w:pPr>
        <w:spacing w:line="360" w:lineRule="auto"/>
        <w:rPr>
          <w:rFonts w:ascii="微软雅黑" w:eastAsia="微软雅黑" w:hAnsi="微软雅黑" w:cs="微软雅黑"/>
          <w:b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八、课程大纲</w:t>
      </w:r>
    </w:p>
    <w:p w:rsidR="00C87938" w:rsidRPr="00B670FE" w:rsidRDefault="00F71382">
      <w:pPr>
        <w:pStyle w:val="11"/>
        <w:numPr>
          <w:ilvl w:val="0"/>
          <w:numId w:val="8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运算放大器电路原理</w:t>
      </w:r>
    </w:p>
    <w:p w:rsidR="00C87938" w:rsidRPr="00B670FE" w:rsidRDefault="00F71382">
      <w:pPr>
        <w:pStyle w:val="11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理论教学内容</w:t>
      </w:r>
    </w:p>
    <w:p w:rsidR="00C87938" w:rsidRPr="00B670FE" w:rsidRDefault="00F71382">
      <w:pPr>
        <w:pStyle w:val="11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lastRenderedPageBreak/>
        <w:t>MOS晶体管工作原理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单级放大器原理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电子电路的频率响应分析方法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反馈放大器原理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运算放大器性能参数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折叠共源共栅运算放大器原理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两级运算放大器原理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稳定性和频率补偿的方法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Spectre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器件描述方法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Spectre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电路仿真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跨导效率的设计方法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制作跨导效率查找表的方法</w:t>
      </w:r>
    </w:p>
    <w:p w:rsidR="00C87938" w:rsidRPr="00B670FE" w:rsidRDefault="00F71382">
      <w:pPr>
        <w:pStyle w:val="11"/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用跨导效率设计放大器的方法</w:t>
      </w:r>
    </w:p>
    <w:p w:rsidR="00C87938" w:rsidRPr="00B670FE" w:rsidRDefault="00F71382">
      <w:pPr>
        <w:pStyle w:val="11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技能实训内容</w:t>
      </w:r>
    </w:p>
    <w:p w:rsidR="00C87938" w:rsidRPr="00B670FE" w:rsidRDefault="00F71382">
      <w:pPr>
        <w:pStyle w:val="11"/>
        <w:numPr>
          <w:ilvl w:val="0"/>
          <w:numId w:val="11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反馈电路中的放大器计算</w:t>
      </w:r>
    </w:p>
    <w:p w:rsidR="00C87938" w:rsidRPr="00B670FE" w:rsidRDefault="00F71382">
      <w:pPr>
        <w:pStyle w:val="11"/>
        <w:numPr>
          <w:ilvl w:val="0"/>
          <w:numId w:val="11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两级运算放大器补偿电容计算</w:t>
      </w:r>
    </w:p>
    <w:p w:rsidR="00C87938" w:rsidRPr="00B670FE" w:rsidRDefault="00F71382">
      <w:pPr>
        <w:pStyle w:val="11"/>
        <w:numPr>
          <w:ilvl w:val="0"/>
          <w:numId w:val="11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共源放大器增益带宽仿真</w:t>
      </w:r>
    </w:p>
    <w:p w:rsidR="00C87938" w:rsidRPr="00B670FE" w:rsidRDefault="00F71382">
      <w:pPr>
        <w:pStyle w:val="11"/>
        <w:numPr>
          <w:ilvl w:val="0"/>
          <w:numId w:val="11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跨导效率查找表的制作</w:t>
      </w:r>
    </w:p>
    <w:p w:rsidR="00C87938" w:rsidRPr="00B670FE" w:rsidRDefault="00F71382">
      <w:pPr>
        <w:pStyle w:val="11"/>
        <w:numPr>
          <w:ilvl w:val="0"/>
          <w:numId w:val="11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跨导效率查找表的使用</w:t>
      </w:r>
    </w:p>
    <w:p w:rsidR="00C87938" w:rsidRPr="00B670FE" w:rsidRDefault="00F71382">
      <w:pPr>
        <w:pStyle w:val="11"/>
        <w:numPr>
          <w:ilvl w:val="0"/>
          <w:numId w:val="8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运算放大器电路设计</w:t>
      </w:r>
    </w:p>
    <w:p w:rsidR="00C87938" w:rsidRPr="00B670FE" w:rsidRDefault="00F71382">
      <w:pPr>
        <w:pStyle w:val="11"/>
        <w:numPr>
          <w:ilvl w:val="0"/>
          <w:numId w:val="12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基础理论教学</w:t>
      </w:r>
    </w:p>
    <w:p w:rsidR="00C87938" w:rsidRPr="00B670FE" w:rsidRDefault="00F71382">
      <w:pPr>
        <w:pStyle w:val="11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Matlab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矩阵操作</w:t>
      </w:r>
    </w:p>
    <w:p w:rsidR="00C87938" w:rsidRPr="00B670FE" w:rsidRDefault="00F71382">
      <w:pPr>
        <w:pStyle w:val="11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Matlab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文件操作</w:t>
      </w:r>
    </w:p>
    <w:p w:rsidR="00C87938" w:rsidRPr="00B670FE" w:rsidRDefault="00F71382">
      <w:pPr>
        <w:pStyle w:val="11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Matlab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编程</w:t>
      </w:r>
    </w:p>
    <w:p w:rsidR="00C87938" w:rsidRPr="00B670FE" w:rsidRDefault="00F71382">
      <w:pPr>
        <w:pStyle w:val="11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开关电容电路中的运算跨导放大器系统优化设计实现方法</w:t>
      </w:r>
    </w:p>
    <w:p w:rsidR="00C87938" w:rsidRPr="00B670FE" w:rsidRDefault="00F71382">
      <w:pPr>
        <w:pStyle w:val="11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lastRenderedPageBreak/>
        <w:t>折叠共源共栅运算放大器系统优化设计实现方法</w:t>
      </w:r>
    </w:p>
    <w:p w:rsidR="00C87938" w:rsidRPr="00B670FE" w:rsidRDefault="00F71382">
      <w:pPr>
        <w:pStyle w:val="11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两级运算放大器系统优化设计实现方法</w:t>
      </w:r>
    </w:p>
    <w:p w:rsidR="00C87938" w:rsidRPr="00B670FE" w:rsidRDefault="00F71382">
      <w:pPr>
        <w:pStyle w:val="11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运算放大器的版图设计考虑</w:t>
      </w:r>
    </w:p>
    <w:p w:rsidR="00C87938" w:rsidRPr="00B670FE" w:rsidRDefault="00F71382">
      <w:pPr>
        <w:pStyle w:val="11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Cadence IC工具建立运算放大器电路原理图和电路符号</w:t>
      </w:r>
    </w:p>
    <w:p w:rsidR="00C87938" w:rsidRPr="00B670FE" w:rsidRDefault="00F71382">
      <w:pPr>
        <w:pStyle w:val="110"/>
        <w:numPr>
          <w:ilvl w:val="0"/>
          <w:numId w:val="12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技能实训内容</w:t>
      </w:r>
    </w:p>
    <w:p w:rsidR="00C87938" w:rsidRPr="00B670FE" w:rsidRDefault="00F71382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Matlab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编程</w:t>
      </w:r>
    </w:p>
    <w:p w:rsidR="00C87938" w:rsidRPr="00B670FE" w:rsidRDefault="00F71382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系统优化设计折叠共源共栅运算放大器电路参数</w:t>
      </w:r>
    </w:p>
    <w:p w:rsidR="00C87938" w:rsidRPr="00B670FE" w:rsidRDefault="00F71382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系统优化设计两级运算放大器电路参数</w:t>
      </w:r>
    </w:p>
    <w:p w:rsidR="00C87938" w:rsidRPr="00B670FE" w:rsidRDefault="00F71382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绘制折叠共源共栅运算放大器原理图</w:t>
      </w:r>
    </w:p>
    <w:p w:rsidR="00C87938" w:rsidRPr="00B670FE" w:rsidRDefault="00F71382">
      <w:pPr>
        <w:pStyle w:val="11"/>
        <w:numPr>
          <w:ilvl w:val="0"/>
          <w:numId w:val="14"/>
        </w:numPr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绘制运算放大器电路符号</w:t>
      </w:r>
    </w:p>
    <w:p w:rsidR="00C87938" w:rsidRPr="00B670FE" w:rsidRDefault="00F71382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运算放大器电路仿真</w:t>
      </w:r>
    </w:p>
    <w:p w:rsidR="00C87938" w:rsidRPr="00B670FE" w:rsidRDefault="00F71382">
      <w:pPr>
        <w:pStyle w:val="11"/>
        <w:numPr>
          <w:ilvl w:val="0"/>
          <w:numId w:val="15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理论教学内容</w:t>
      </w:r>
    </w:p>
    <w:p w:rsidR="00C87938" w:rsidRPr="00B670FE" w:rsidRDefault="00F71382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Cadence ADE的环境设置方法</w:t>
      </w:r>
    </w:p>
    <w:p w:rsidR="00C87938" w:rsidRPr="00B670FE" w:rsidRDefault="00F71382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Spectre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直流分析仿真</w:t>
      </w:r>
    </w:p>
    <w:p w:rsidR="00C87938" w:rsidRPr="00B670FE" w:rsidRDefault="00F71382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Spectre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瞬态分析仿真</w:t>
      </w:r>
    </w:p>
    <w:p w:rsidR="00C87938" w:rsidRPr="00B670FE" w:rsidRDefault="00F71382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Spectre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交流分析仿真</w:t>
      </w:r>
    </w:p>
    <w:p w:rsidR="00C87938" w:rsidRPr="00B670FE" w:rsidRDefault="00F71382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proofErr w:type="spell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Spectre</w:t>
      </w:r>
      <w:proofErr w:type="spellEnd"/>
      <w:r w:rsidRPr="00B670FE">
        <w:rPr>
          <w:rFonts w:ascii="微软雅黑" w:eastAsia="微软雅黑" w:hAnsi="微软雅黑" w:cs="微软雅黑" w:hint="eastAsia"/>
          <w:sz w:val="24"/>
          <w:szCs w:val="24"/>
        </w:rPr>
        <w:t>零极点仿真</w:t>
      </w:r>
    </w:p>
    <w:p w:rsidR="00C87938" w:rsidRPr="00B670FE" w:rsidRDefault="00F71382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运算放大器性能仿真</w:t>
      </w:r>
    </w:p>
    <w:p w:rsidR="00C87938" w:rsidRPr="00B670FE" w:rsidRDefault="00F71382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蒙特卡罗仿真</w:t>
      </w:r>
    </w:p>
    <w:p w:rsidR="00C87938" w:rsidRPr="00B670FE" w:rsidRDefault="00F71382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多工艺角仿真</w:t>
      </w:r>
    </w:p>
    <w:p w:rsidR="00C87938" w:rsidRPr="00B670FE" w:rsidRDefault="00F71382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波形显示窗口</w:t>
      </w:r>
    </w:p>
    <w:p w:rsidR="00C87938" w:rsidRPr="00B670FE" w:rsidRDefault="00F71382">
      <w:pPr>
        <w:pStyle w:val="110"/>
        <w:numPr>
          <w:ilvl w:val="0"/>
          <w:numId w:val="16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结果浏览器</w:t>
      </w:r>
    </w:p>
    <w:p w:rsidR="00C87938" w:rsidRPr="00B670FE" w:rsidRDefault="00F71382">
      <w:pPr>
        <w:pStyle w:val="110"/>
        <w:numPr>
          <w:ilvl w:val="0"/>
          <w:numId w:val="16"/>
        </w:numPr>
        <w:tabs>
          <w:tab w:val="left" w:pos="864"/>
        </w:tabs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计算器工具</w:t>
      </w:r>
    </w:p>
    <w:p w:rsidR="00C87938" w:rsidRPr="00B670FE" w:rsidRDefault="00F71382">
      <w:pPr>
        <w:pStyle w:val="110"/>
        <w:numPr>
          <w:ilvl w:val="0"/>
          <w:numId w:val="15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技能实训内容</w:t>
      </w:r>
    </w:p>
    <w:p w:rsidR="00C87938" w:rsidRPr="00B670FE" w:rsidRDefault="00F71382">
      <w:pPr>
        <w:pStyle w:val="11"/>
        <w:widowControl/>
        <w:numPr>
          <w:ilvl w:val="0"/>
          <w:numId w:val="17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Cadence ADE的环境设置</w:t>
      </w:r>
    </w:p>
    <w:p w:rsidR="00C87938" w:rsidRPr="00B670FE" w:rsidRDefault="00F71382">
      <w:pPr>
        <w:pStyle w:val="11"/>
        <w:widowControl/>
        <w:numPr>
          <w:ilvl w:val="0"/>
          <w:numId w:val="17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lastRenderedPageBreak/>
        <w:t>运算放大器交流分析仿真</w:t>
      </w:r>
    </w:p>
    <w:p w:rsidR="00C87938" w:rsidRPr="00B670FE" w:rsidRDefault="00F71382">
      <w:pPr>
        <w:pStyle w:val="11"/>
        <w:widowControl/>
        <w:numPr>
          <w:ilvl w:val="0"/>
          <w:numId w:val="17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运算放大器</w:t>
      </w:r>
      <w:proofErr w:type="gramStart"/>
      <w:r w:rsidRPr="00B670FE">
        <w:rPr>
          <w:rFonts w:ascii="微软雅黑" w:eastAsia="微软雅黑" w:hAnsi="微软雅黑" w:cs="微软雅黑" w:hint="eastAsia"/>
          <w:sz w:val="24"/>
          <w:szCs w:val="24"/>
        </w:rPr>
        <w:t>压摆率仿真</w:t>
      </w:r>
      <w:proofErr w:type="gramEnd"/>
      <w:r w:rsidRPr="00B670FE">
        <w:rPr>
          <w:rFonts w:ascii="微软雅黑" w:eastAsia="微软雅黑" w:hAnsi="微软雅黑" w:cs="微软雅黑" w:hint="eastAsia"/>
          <w:sz w:val="24"/>
          <w:szCs w:val="24"/>
        </w:rPr>
        <w:t>能力</w:t>
      </w:r>
    </w:p>
    <w:p w:rsidR="00C87938" w:rsidRPr="00B670FE" w:rsidRDefault="00F71382">
      <w:pPr>
        <w:pStyle w:val="11"/>
        <w:widowControl/>
        <w:numPr>
          <w:ilvl w:val="0"/>
          <w:numId w:val="17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运算放大器电源抑制比仿真能力</w:t>
      </w:r>
    </w:p>
    <w:p w:rsidR="00C87938" w:rsidRPr="00B670FE" w:rsidRDefault="00F71382">
      <w:pPr>
        <w:pStyle w:val="11"/>
        <w:widowControl/>
        <w:numPr>
          <w:ilvl w:val="0"/>
          <w:numId w:val="17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B670FE">
        <w:rPr>
          <w:rFonts w:ascii="微软雅黑" w:eastAsia="微软雅黑" w:hAnsi="微软雅黑" w:cs="微软雅黑" w:hint="eastAsia"/>
          <w:sz w:val="24"/>
          <w:szCs w:val="24"/>
        </w:rPr>
        <w:t>运算放大器共模抑制比仿真能力</w:t>
      </w:r>
    </w:p>
    <w:p w:rsidR="00C87938" w:rsidRPr="00B670FE" w:rsidRDefault="00C87938">
      <w:pPr>
        <w:pStyle w:val="11"/>
        <w:widowControl/>
        <w:autoSpaceDE w:val="0"/>
        <w:autoSpaceDN w:val="0"/>
        <w:adjustRightInd w:val="0"/>
        <w:snapToGrid w:val="0"/>
        <w:spacing w:line="240" w:lineRule="auto"/>
        <w:ind w:left="420" w:firstLineChars="0" w:firstLine="0"/>
        <w:rPr>
          <w:rFonts w:ascii="微软雅黑" w:eastAsia="微软雅黑" w:hAnsi="微软雅黑" w:cs="微软雅黑"/>
          <w:sz w:val="24"/>
          <w:szCs w:val="24"/>
        </w:rPr>
      </w:pPr>
    </w:p>
    <w:p w:rsidR="00C87938" w:rsidRPr="00B670FE" w:rsidRDefault="00F71382">
      <w:pPr>
        <w:rPr>
          <w:rFonts w:ascii="微软雅黑" w:eastAsia="微软雅黑" w:hAnsi="微软雅黑" w:cs="微软雅黑"/>
          <w:b/>
          <w:sz w:val="24"/>
          <w:shd w:val="clear" w:color="auto" w:fill="FFFFFF"/>
        </w:rPr>
      </w:pP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九、</w:t>
      </w:r>
      <w:r w:rsidR="00AD1A91"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报名</w:t>
      </w:r>
      <w:r w:rsidRPr="00B670FE">
        <w:rPr>
          <w:rFonts w:ascii="微软雅黑" w:eastAsia="微软雅黑" w:hAnsi="微软雅黑" w:cs="微软雅黑" w:hint="eastAsia"/>
          <w:b/>
          <w:sz w:val="24"/>
          <w:shd w:val="clear" w:color="auto" w:fill="FFFFFF"/>
        </w:rPr>
        <w:t>联系方式</w:t>
      </w:r>
    </w:p>
    <w:p w:rsidR="00AD1A91" w:rsidRPr="00B670FE" w:rsidRDefault="00F71382">
      <w:pPr>
        <w:pStyle w:val="a8"/>
        <w:spacing w:beforeAutospacing="0" w:afterAutospacing="0"/>
        <w:rPr>
          <w:rFonts w:ascii="微软雅黑" w:eastAsia="微软雅黑" w:hAnsi="微软雅黑" w:cs="微软雅黑"/>
          <w:color w:val="555555"/>
        </w:rPr>
      </w:pPr>
      <w:r w:rsidRPr="00B670FE">
        <w:rPr>
          <w:rFonts w:ascii="微软雅黑" w:eastAsia="微软雅黑" w:hAnsi="微软雅黑" w:cs="微软雅黑" w:hint="eastAsia"/>
          <w:color w:val="555555"/>
        </w:rPr>
        <w:t>联系人：Gina Hong/021-61154610-8801  邮箱：</w:t>
      </w:r>
      <w:hyperlink r:id="rId8" w:history="1">
        <w:r w:rsidRPr="00B670FE">
          <w:rPr>
            <w:rFonts w:ascii="微软雅黑" w:eastAsia="微软雅黑" w:hAnsi="微软雅黑" w:cs="微软雅黑" w:hint="eastAsia"/>
            <w:color w:val="555555"/>
          </w:rPr>
          <w:t>g</w:t>
        </w:r>
        <w:r w:rsidRPr="00B670FE">
          <w:rPr>
            <w:rStyle w:val="ac"/>
            <w:rFonts w:ascii="微软雅黑" w:eastAsia="微软雅黑" w:hAnsi="微软雅黑" w:cs="微软雅黑" w:hint="eastAsia"/>
            <w:color w:val="555555"/>
          </w:rPr>
          <w:t>i</w:t>
        </w:r>
      </w:hyperlink>
      <w:r w:rsidR="00AD1A91" w:rsidRPr="00B670FE">
        <w:rPr>
          <w:rFonts w:ascii="微软雅黑" w:eastAsia="微软雅黑" w:hAnsi="微软雅黑" w:cs="微软雅黑" w:hint="eastAsia"/>
          <w:color w:val="555555"/>
        </w:rPr>
        <w:t xml:space="preserve">na.hong@ssipex.com </w:t>
      </w:r>
    </w:p>
    <w:p w:rsidR="00C87938" w:rsidRPr="00B670FE" w:rsidRDefault="00F71382">
      <w:pPr>
        <w:pStyle w:val="a8"/>
        <w:spacing w:beforeAutospacing="0" w:afterAutospacing="0"/>
        <w:rPr>
          <w:rFonts w:ascii="微软雅黑" w:eastAsia="微软雅黑" w:hAnsi="微软雅黑" w:cs="微软雅黑"/>
          <w:color w:val="555555"/>
        </w:rPr>
      </w:pPr>
      <w:r w:rsidRPr="00B670FE">
        <w:rPr>
          <w:rFonts w:ascii="微软雅黑" w:eastAsia="微软雅黑" w:hAnsi="微软雅黑" w:cs="微软雅黑" w:hint="eastAsia"/>
          <w:color w:val="555555"/>
        </w:rPr>
        <w:t>微信：</w:t>
      </w:r>
    </w:p>
    <w:p w:rsidR="00C87938" w:rsidRPr="00B670FE" w:rsidRDefault="00F71382">
      <w:pPr>
        <w:rPr>
          <w:rFonts w:ascii="微软雅黑" w:eastAsia="微软雅黑" w:hAnsi="微软雅黑" w:cs="微软雅黑"/>
          <w:noProof/>
          <w:color w:val="555555"/>
        </w:rPr>
      </w:pPr>
      <w:r w:rsidRPr="00B670FE">
        <w:rPr>
          <w:rFonts w:ascii="微软雅黑" w:eastAsia="微软雅黑" w:hAnsi="微软雅黑" w:cs="微软雅黑" w:hint="eastAsia"/>
          <w:color w:val="555555"/>
        </w:rPr>
        <w:t xml:space="preserve">         </w:t>
      </w:r>
      <w:r w:rsidRPr="00B670FE">
        <w:rPr>
          <w:rFonts w:ascii="微软雅黑" w:eastAsia="微软雅黑" w:hAnsi="微软雅黑" w:cs="微软雅黑"/>
          <w:noProof/>
          <w:color w:val="555555"/>
        </w:rPr>
        <w:drawing>
          <wp:inline distT="0" distB="0" distL="0" distR="0" wp14:anchorId="4394A5F5" wp14:editId="38AF7F4C">
            <wp:extent cx="1324610" cy="1294130"/>
            <wp:effectExtent l="0" t="0" r="1270" b="1270"/>
            <wp:docPr id="4" name="图片 4" descr="C:\Users\sarah\AppData\Local\Temp\15421820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arah\AppData\Local\Temp\1542182062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FE">
        <w:rPr>
          <w:rFonts w:ascii="微软雅黑" w:eastAsia="微软雅黑" w:hAnsi="微软雅黑" w:cs="微软雅黑" w:hint="eastAsia"/>
          <w:color w:val="555555"/>
        </w:rPr>
        <w:t xml:space="preserve">       </w:t>
      </w:r>
    </w:p>
    <w:p w:rsidR="008623F4" w:rsidRPr="00B670FE" w:rsidRDefault="008623F4">
      <w:pPr>
        <w:rPr>
          <w:rFonts w:ascii="微软雅黑" w:eastAsia="微软雅黑" w:hAnsi="微软雅黑" w:cs="微软雅黑"/>
          <w:noProof/>
          <w:color w:val="555555"/>
        </w:rPr>
      </w:pPr>
    </w:p>
    <w:p w:rsidR="008623F4" w:rsidRPr="00B670FE" w:rsidRDefault="008623F4">
      <w:pPr>
        <w:rPr>
          <w:rFonts w:ascii="微软雅黑" w:eastAsia="微软雅黑" w:hAnsi="微软雅黑" w:cs="微软雅黑"/>
          <w:noProof/>
          <w:color w:val="555555"/>
        </w:rPr>
      </w:pPr>
    </w:p>
    <w:p w:rsidR="008623F4" w:rsidRDefault="008623F4">
      <w:pPr>
        <w:rPr>
          <w:rFonts w:ascii="微软雅黑" w:eastAsia="微软雅黑" w:hAnsi="微软雅黑" w:cs="微软雅黑"/>
          <w:szCs w:val="21"/>
        </w:rPr>
      </w:pPr>
      <w:r w:rsidRPr="00B670FE">
        <w:rPr>
          <w:rFonts w:ascii="微软雅黑" w:eastAsia="微软雅黑" w:hAnsi="微软雅黑" w:cs="微软雅黑" w:hint="eastAsia"/>
          <w:noProof/>
          <w:color w:val="555555"/>
        </w:rPr>
        <w:t xml:space="preserve">                                                                       2019.2</w:t>
      </w:r>
    </w:p>
    <w:sectPr w:rsidR="008623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.Ё...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61F"/>
    <w:multiLevelType w:val="multilevel"/>
    <w:tmpl w:val="10E3761F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23733B"/>
    <w:multiLevelType w:val="multilevel"/>
    <w:tmpl w:val="1623733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974936"/>
    <w:multiLevelType w:val="multilevel"/>
    <w:tmpl w:val="1A974936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2265EB"/>
    <w:multiLevelType w:val="multilevel"/>
    <w:tmpl w:val="242265EB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1247CDC"/>
    <w:multiLevelType w:val="multilevel"/>
    <w:tmpl w:val="31247CD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045D8B"/>
    <w:multiLevelType w:val="multilevel"/>
    <w:tmpl w:val="37045D8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25412A"/>
    <w:multiLevelType w:val="multilevel"/>
    <w:tmpl w:val="3B25412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8473B9"/>
    <w:multiLevelType w:val="multilevel"/>
    <w:tmpl w:val="518473B9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1AE4CC2"/>
    <w:multiLevelType w:val="multilevel"/>
    <w:tmpl w:val="51AE4CC2"/>
    <w:lvl w:ilvl="0">
      <w:start w:val="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D7578A"/>
    <w:multiLevelType w:val="multilevel"/>
    <w:tmpl w:val="52D7578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C20125"/>
    <w:multiLevelType w:val="singleLevel"/>
    <w:tmpl w:val="59C201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59C20150"/>
    <w:multiLevelType w:val="singleLevel"/>
    <w:tmpl w:val="59C201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68990672"/>
    <w:multiLevelType w:val="multilevel"/>
    <w:tmpl w:val="6899067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212FA0"/>
    <w:multiLevelType w:val="multilevel"/>
    <w:tmpl w:val="6B212FA0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DA2756"/>
    <w:multiLevelType w:val="multilevel"/>
    <w:tmpl w:val="78DA2756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F223A8"/>
    <w:multiLevelType w:val="multilevel"/>
    <w:tmpl w:val="7CF223A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A93D51"/>
    <w:multiLevelType w:val="multilevel"/>
    <w:tmpl w:val="7FA93D51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E"/>
    <w:rsid w:val="00020D28"/>
    <w:rsid w:val="00030964"/>
    <w:rsid w:val="0004232E"/>
    <w:rsid w:val="00061C84"/>
    <w:rsid w:val="00074271"/>
    <w:rsid w:val="000744BE"/>
    <w:rsid w:val="00092ECD"/>
    <w:rsid w:val="0009519B"/>
    <w:rsid w:val="000F6A90"/>
    <w:rsid w:val="00106862"/>
    <w:rsid w:val="00110E68"/>
    <w:rsid w:val="001244C3"/>
    <w:rsid w:val="0014388C"/>
    <w:rsid w:val="001A23DF"/>
    <w:rsid w:val="001B0905"/>
    <w:rsid w:val="001B79CB"/>
    <w:rsid w:val="001C7F54"/>
    <w:rsid w:val="001F017B"/>
    <w:rsid w:val="001F1DCF"/>
    <w:rsid w:val="001F36D8"/>
    <w:rsid w:val="002361A3"/>
    <w:rsid w:val="002425D1"/>
    <w:rsid w:val="0025544A"/>
    <w:rsid w:val="00264ECA"/>
    <w:rsid w:val="0028017F"/>
    <w:rsid w:val="002A0EEA"/>
    <w:rsid w:val="002A7477"/>
    <w:rsid w:val="002D22C6"/>
    <w:rsid w:val="002D64E3"/>
    <w:rsid w:val="002E615D"/>
    <w:rsid w:val="003027DA"/>
    <w:rsid w:val="003036C8"/>
    <w:rsid w:val="00317060"/>
    <w:rsid w:val="00343F5F"/>
    <w:rsid w:val="0034549A"/>
    <w:rsid w:val="00357334"/>
    <w:rsid w:val="003777B5"/>
    <w:rsid w:val="003902BF"/>
    <w:rsid w:val="0039219C"/>
    <w:rsid w:val="00394EFF"/>
    <w:rsid w:val="003B11D8"/>
    <w:rsid w:val="003C256E"/>
    <w:rsid w:val="003D4AA3"/>
    <w:rsid w:val="003F1A7F"/>
    <w:rsid w:val="003F2F3D"/>
    <w:rsid w:val="003F5BF0"/>
    <w:rsid w:val="00400E38"/>
    <w:rsid w:val="00411EE7"/>
    <w:rsid w:val="00467C60"/>
    <w:rsid w:val="004739FD"/>
    <w:rsid w:val="00476F61"/>
    <w:rsid w:val="00477674"/>
    <w:rsid w:val="004B05DD"/>
    <w:rsid w:val="004C2EBE"/>
    <w:rsid w:val="00524F5D"/>
    <w:rsid w:val="0053068E"/>
    <w:rsid w:val="00530ADE"/>
    <w:rsid w:val="00533B13"/>
    <w:rsid w:val="005641A6"/>
    <w:rsid w:val="00572F87"/>
    <w:rsid w:val="00591F15"/>
    <w:rsid w:val="00596078"/>
    <w:rsid w:val="005B6068"/>
    <w:rsid w:val="005D4994"/>
    <w:rsid w:val="005F504E"/>
    <w:rsid w:val="006235EA"/>
    <w:rsid w:val="00635823"/>
    <w:rsid w:val="00651C44"/>
    <w:rsid w:val="0068148B"/>
    <w:rsid w:val="00690344"/>
    <w:rsid w:val="006A0AE5"/>
    <w:rsid w:val="006D0137"/>
    <w:rsid w:val="006F5212"/>
    <w:rsid w:val="006F558B"/>
    <w:rsid w:val="0071376A"/>
    <w:rsid w:val="00714900"/>
    <w:rsid w:val="007249AE"/>
    <w:rsid w:val="00782509"/>
    <w:rsid w:val="007B77D4"/>
    <w:rsid w:val="007C6995"/>
    <w:rsid w:val="007D2559"/>
    <w:rsid w:val="007E6867"/>
    <w:rsid w:val="007F68AF"/>
    <w:rsid w:val="00803D04"/>
    <w:rsid w:val="00812C02"/>
    <w:rsid w:val="0081316B"/>
    <w:rsid w:val="0083632F"/>
    <w:rsid w:val="00853078"/>
    <w:rsid w:val="008623F4"/>
    <w:rsid w:val="00876851"/>
    <w:rsid w:val="008860A4"/>
    <w:rsid w:val="0089754C"/>
    <w:rsid w:val="008C2FEB"/>
    <w:rsid w:val="008C385F"/>
    <w:rsid w:val="008E72FF"/>
    <w:rsid w:val="009008B5"/>
    <w:rsid w:val="009016B3"/>
    <w:rsid w:val="00904A8A"/>
    <w:rsid w:val="009201BF"/>
    <w:rsid w:val="00933CF2"/>
    <w:rsid w:val="00943B7F"/>
    <w:rsid w:val="009444C4"/>
    <w:rsid w:val="009559CC"/>
    <w:rsid w:val="00975730"/>
    <w:rsid w:val="0099619E"/>
    <w:rsid w:val="009A4BCD"/>
    <w:rsid w:val="009B1108"/>
    <w:rsid w:val="009B733D"/>
    <w:rsid w:val="009D1AD3"/>
    <w:rsid w:val="009D2635"/>
    <w:rsid w:val="009E24D7"/>
    <w:rsid w:val="009E4AD1"/>
    <w:rsid w:val="00A12DFA"/>
    <w:rsid w:val="00A1670F"/>
    <w:rsid w:val="00A21630"/>
    <w:rsid w:val="00A37B11"/>
    <w:rsid w:val="00AB6D3A"/>
    <w:rsid w:val="00AB702B"/>
    <w:rsid w:val="00AD1A91"/>
    <w:rsid w:val="00B00101"/>
    <w:rsid w:val="00B03D64"/>
    <w:rsid w:val="00B1250B"/>
    <w:rsid w:val="00B20FDD"/>
    <w:rsid w:val="00B670FE"/>
    <w:rsid w:val="00B72436"/>
    <w:rsid w:val="00BB16ED"/>
    <w:rsid w:val="00BC7343"/>
    <w:rsid w:val="00BE409A"/>
    <w:rsid w:val="00BE580C"/>
    <w:rsid w:val="00BE6A3E"/>
    <w:rsid w:val="00C02C88"/>
    <w:rsid w:val="00C04ECE"/>
    <w:rsid w:val="00C1127A"/>
    <w:rsid w:val="00C60B9B"/>
    <w:rsid w:val="00C65B86"/>
    <w:rsid w:val="00C65E64"/>
    <w:rsid w:val="00C7158E"/>
    <w:rsid w:val="00C71EC5"/>
    <w:rsid w:val="00C73BF1"/>
    <w:rsid w:val="00C80F93"/>
    <w:rsid w:val="00C835BA"/>
    <w:rsid w:val="00C87938"/>
    <w:rsid w:val="00CB669A"/>
    <w:rsid w:val="00CC3B53"/>
    <w:rsid w:val="00CD722E"/>
    <w:rsid w:val="00CF720F"/>
    <w:rsid w:val="00D01CB6"/>
    <w:rsid w:val="00D1362C"/>
    <w:rsid w:val="00D22E23"/>
    <w:rsid w:val="00D25077"/>
    <w:rsid w:val="00D50D63"/>
    <w:rsid w:val="00D759E8"/>
    <w:rsid w:val="00D818A9"/>
    <w:rsid w:val="00D83A59"/>
    <w:rsid w:val="00E23520"/>
    <w:rsid w:val="00E23A40"/>
    <w:rsid w:val="00E44711"/>
    <w:rsid w:val="00E44B55"/>
    <w:rsid w:val="00E47489"/>
    <w:rsid w:val="00EA43DB"/>
    <w:rsid w:val="00EB7A55"/>
    <w:rsid w:val="00ED627A"/>
    <w:rsid w:val="00EE2B3D"/>
    <w:rsid w:val="00EE2DAF"/>
    <w:rsid w:val="00F070B1"/>
    <w:rsid w:val="00F575AA"/>
    <w:rsid w:val="00F629C6"/>
    <w:rsid w:val="00F66BC7"/>
    <w:rsid w:val="00F71382"/>
    <w:rsid w:val="00F85353"/>
    <w:rsid w:val="00F867EE"/>
    <w:rsid w:val="00F97ECD"/>
    <w:rsid w:val="00FA436A"/>
    <w:rsid w:val="016E008F"/>
    <w:rsid w:val="054C28E5"/>
    <w:rsid w:val="06D173A6"/>
    <w:rsid w:val="16640279"/>
    <w:rsid w:val="1A0C6E13"/>
    <w:rsid w:val="234F47D4"/>
    <w:rsid w:val="25646888"/>
    <w:rsid w:val="290F0523"/>
    <w:rsid w:val="295A2C2A"/>
    <w:rsid w:val="2D9E33C8"/>
    <w:rsid w:val="2ED97560"/>
    <w:rsid w:val="34F43A2C"/>
    <w:rsid w:val="36C60245"/>
    <w:rsid w:val="3A8E22ED"/>
    <w:rsid w:val="42CC5123"/>
    <w:rsid w:val="439F5BD0"/>
    <w:rsid w:val="43DA7D15"/>
    <w:rsid w:val="4D0031AC"/>
    <w:rsid w:val="521A1D03"/>
    <w:rsid w:val="524F4206"/>
    <w:rsid w:val="56EC2B4D"/>
    <w:rsid w:val="5A9D1889"/>
    <w:rsid w:val="5F313746"/>
    <w:rsid w:val="5F9A27EE"/>
    <w:rsid w:val="650B4214"/>
    <w:rsid w:val="6EF1529E"/>
    <w:rsid w:val="7CE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1"/>
    <w:next w:val="a"/>
    <w:link w:val="Char3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rFonts w:eastAsia="黑体"/>
      <w:color w:val="000000"/>
      <w:sz w:val="28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e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3">
    <w:name w:val="标题 Char"/>
    <w:basedOn w:val="a0"/>
    <w:link w:val="a9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13">
    <w:name w:val="明显强调1"/>
    <w:uiPriority w:val="21"/>
    <w:qFormat/>
    <w:rPr>
      <w:i/>
      <w:iCs/>
      <w:color w:val="5B9BD5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110">
    <w:name w:val="列出段落1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1"/>
    <w:next w:val="a"/>
    <w:link w:val="Char3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rFonts w:eastAsia="黑体"/>
      <w:color w:val="000000"/>
      <w:sz w:val="28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e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3">
    <w:name w:val="标题 Char"/>
    <w:basedOn w:val="a0"/>
    <w:link w:val="a9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13">
    <w:name w:val="明显强调1"/>
    <w:uiPriority w:val="21"/>
    <w:qFormat/>
    <w:rPr>
      <w:i/>
      <w:iCs/>
      <w:color w:val="5B9BD5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110">
    <w:name w:val="列出段落1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.hong@ssipex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E83EA-0287-4CE4-8DE8-F0115324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312</Words>
  <Characters>1784</Characters>
  <Application>Microsoft Office Word</Application>
  <DocSecurity>0</DocSecurity>
  <Lines>14</Lines>
  <Paragraphs>4</Paragraphs>
  <ScaleCrop>false</ScaleCrop>
  <Company>MS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</dc:creator>
  <cp:lastModifiedBy>Gina Hong</cp:lastModifiedBy>
  <cp:revision>28</cp:revision>
  <cp:lastPrinted>2018-12-10T02:22:00Z</cp:lastPrinted>
  <dcterms:created xsi:type="dcterms:W3CDTF">2018-12-02T06:57:00Z</dcterms:created>
  <dcterms:modified xsi:type="dcterms:W3CDTF">2019-03-08T03:20:00Z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